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AB71" w14:textId="19181FC0" w:rsidR="009B5BC1" w:rsidRPr="009B5BC1" w:rsidRDefault="009B5BC1" w:rsidP="009C23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5BC1">
        <w:rPr>
          <w:rFonts w:ascii="Arial" w:hAnsi="Arial" w:cs="Arial"/>
          <w:b/>
          <w:sz w:val="24"/>
          <w:szCs w:val="24"/>
        </w:rPr>
        <w:t>Capacitação Lume – Rede ATER Nordeste de Agroecologia</w:t>
      </w:r>
    </w:p>
    <w:p w14:paraId="44FD140F" w14:textId="44ABDEFB" w:rsidR="00E00D23" w:rsidRDefault="00E00D23" w:rsidP="009C23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Diagrama de Fluxos – orientações para elaboração</w:t>
      </w:r>
    </w:p>
    <w:p w14:paraId="1096292A" w14:textId="77777777" w:rsidR="00C22731" w:rsidRDefault="00C22731" w:rsidP="009C23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8F3DBB" w14:textId="5B270CCC" w:rsidR="006D1372" w:rsidRDefault="006D1372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581DC4" w14:textId="77777777" w:rsidR="00DE7CFB" w:rsidRDefault="006D1372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Etapa</w:t>
      </w:r>
      <w:r w:rsidR="00C22731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Estrutura do Agroecossistema</w:t>
      </w:r>
      <w:r w:rsidR="009C2384">
        <w:rPr>
          <w:rFonts w:ascii="Arial" w:hAnsi="Arial" w:cs="Arial"/>
          <w:b/>
          <w:sz w:val="24"/>
          <w:szCs w:val="24"/>
        </w:rPr>
        <w:t xml:space="preserve">: </w:t>
      </w:r>
    </w:p>
    <w:p w14:paraId="54C786E8" w14:textId="77777777" w:rsidR="00DE7CFB" w:rsidRDefault="00DE7CFB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22CE2C" w14:textId="480F6954" w:rsidR="006D1372" w:rsidRDefault="00DE7CFB" w:rsidP="009C23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</w:t>
      </w:r>
      <w:r w:rsidRPr="00DE7CFB">
        <w:rPr>
          <w:rFonts w:ascii="Arial" w:hAnsi="Arial" w:cs="Arial"/>
          <w:sz w:val="24"/>
          <w:szCs w:val="24"/>
        </w:rPr>
        <w:t>delimitar o agroecossistema, i</w:t>
      </w:r>
      <w:r w:rsidR="009C2384" w:rsidRPr="00DE7CFB">
        <w:rPr>
          <w:rFonts w:ascii="Arial" w:hAnsi="Arial" w:cs="Arial"/>
          <w:sz w:val="24"/>
          <w:szCs w:val="24"/>
        </w:rPr>
        <w:t>dentificar</w:t>
      </w:r>
      <w:r w:rsidR="009C2384" w:rsidRPr="009C2384">
        <w:rPr>
          <w:rFonts w:ascii="Arial" w:hAnsi="Arial" w:cs="Arial"/>
          <w:sz w:val="24"/>
          <w:szCs w:val="24"/>
        </w:rPr>
        <w:t xml:space="preserve"> os subsistemas e mediadores e posicioná-los no diagrama conforme padronização</w:t>
      </w:r>
      <w:r w:rsidR="00C22731">
        <w:rPr>
          <w:rFonts w:ascii="Arial" w:hAnsi="Arial" w:cs="Arial"/>
          <w:sz w:val="24"/>
          <w:szCs w:val="24"/>
        </w:rPr>
        <w:t>:</w:t>
      </w:r>
    </w:p>
    <w:p w14:paraId="12489AAD" w14:textId="77777777" w:rsidR="00DE7CFB" w:rsidRDefault="00DE7CFB" w:rsidP="009C23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7FBC26" w14:textId="626A518D" w:rsidR="00C22731" w:rsidRPr="00DE7CFB" w:rsidRDefault="00C22731" w:rsidP="00DE7CFB">
      <w:pPr>
        <w:pStyle w:val="PargrafodaLista"/>
        <w:numPr>
          <w:ilvl w:val="1"/>
          <w:numId w:val="1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E7CFB">
        <w:rPr>
          <w:rFonts w:ascii="Arial" w:hAnsi="Arial" w:cs="Arial"/>
          <w:sz w:val="24"/>
          <w:szCs w:val="24"/>
          <w:u w:val="single"/>
        </w:rPr>
        <w:t>Agroecossistema</w:t>
      </w:r>
      <w:r w:rsidRPr="00DE7CFB">
        <w:rPr>
          <w:rFonts w:ascii="Arial" w:hAnsi="Arial" w:cs="Arial"/>
          <w:sz w:val="24"/>
          <w:szCs w:val="24"/>
        </w:rPr>
        <w:t>: retângulo grande preto</w:t>
      </w:r>
    </w:p>
    <w:p w14:paraId="4A999853" w14:textId="75C0C22D" w:rsidR="00C22731" w:rsidRPr="00DE7CFB" w:rsidRDefault="00C22731" w:rsidP="00DE7CFB">
      <w:pPr>
        <w:pStyle w:val="PargrafodaLista"/>
        <w:numPr>
          <w:ilvl w:val="1"/>
          <w:numId w:val="1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E7CFB">
        <w:rPr>
          <w:rFonts w:ascii="Arial" w:hAnsi="Arial" w:cs="Arial"/>
          <w:sz w:val="24"/>
          <w:szCs w:val="24"/>
          <w:u w:val="single"/>
        </w:rPr>
        <w:t>NSGA:</w:t>
      </w:r>
      <w:r w:rsidRPr="00DE7CFB">
        <w:rPr>
          <w:rFonts w:ascii="Arial" w:hAnsi="Arial" w:cs="Arial"/>
          <w:sz w:val="24"/>
          <w:szCs w:val="24"/>
        </w:rPr>
        <w:t xml:space="preserve"> retângulo pequeno azul ao centro</w:t>
      </w:r>
    </w:p>
    <w:p w14:paraId="7835AE67" w14:textId="7A2D9135" w:rsidR="00C22731" w:rsidRPr="00DE7CFB" w:rsidRDefault="00C22731" w:rsidP="00DE7CFB">
      <w:pPr>
        <w:pStyle w:val="PargrafodaLista"/>
        <w:numPr>
          <w:ilvl w:val="1"/>
          <w:numId w:val="1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E7CFB">
        <w:rPr>
          <w:rFonts w:ascii="Arial" w:hAnsi="Arial" w:cs="Arial"/>
          <w:sz w:val="24"/>
          <w:szCs w:val="24"/>
          <w:u w:val="single"/>
        </w:rPr>
        <w:t>S</w:t>
      </w:r>
      <w:r w:rsidR="001C5046" w:rsidRPr="00DE7CFB">
        <w:rPr>
          <w:rFonts w:ascii="Arial" w:hAnsi="Arial" w:cs="Arial"/>
          <w:sz w:val="24"/>
          <w:szCs w:val="24"/>
          <w:u w:val="single"/>
        </w:rPr>
        <w:t>ubsistema</w:t>
      </w:r>
      <w:r w:rsidRPr="00DE7CFB">
        <w:rPr>
          <w:rFonts w:ascii="Arial" w:hAnsi="Arial" w:cs="Arial"/>
          <w:sz w:val="24"/>
          <w:szCs w:val="24"/>
        </w:rPr>
        <w:t>: ret</w:t>
      </w:r>
      <w:r w:rsidR="001C5046" w:rsidRPr="00DE7CFB">
        <w:rPr>
          <w:rFonts w:ascii="Arial" w:hAnsi="Arial" w:cs="Arial"/>
          <w:sz w:val="24"/>
          <w:szCs w:val="24"/>
        </w:rPr>
        <w:t>ângulo</w:t>
      </w:r>
      <w:r w:rsidRPr="00DE7CFB">
        <w:rPr>
          <w:rFonts w:ascii="Arial" w:hAnsi="Arial" w:cs="Arial"/>
          <w:sz w:val="24"/>
          <w:szCs w:val="24"/>
        </w:rPr>
        <w:t xml:space="preserve"> </w:t>
      </w:r>
      <w:r w:rsidR="001C5046" w:rsidRPr="00DE7CFB">
        <w:rPr>
          <w:rFonts w:ascii="Arial" w:hAnsi="Arial" w:cs="Arial"/>
          <w:sz w:val="24"/>
          <w:szCs w:val="24"/>
        </w:rPr>
        <w:t>pequeno</w:t>
      </w:r>
      <w:r w:rsidRPr="00DE7CFB">
        <w:rPr>
          <w:rFonts w:ascii="Arial" w:hAnsi="Arial" w:cs="Arial"/>
          <w:sz w:val="24"/>
          <w:szCs w:val="24"/>
        </w:rPr>
        <w:t xml:space="preserve"> </w:t>
      </w:r>
      <w:r w:rsidR="001C5046" w:rsidRPr="00DE7CFB">
        <w:rPr>
          <w:rFonts w:ascii="Arial" w:hAnsi="Arial" w:cs="Arial"/>
          <w:sz w:val="24"/>
          <w:szCs w:val="24"/>
        </w:rPr>
        <w:t>vermelho</w:t>
      </w:r>
    </w:p>
    <w:p w14:paraId="6E5CE0E5" w14:textId="69131361" w:rsidR="00C22731" w:rsidRPr="00DE7CFB" w:rsidRDefault="00C22731" w:rsidP="00DE7CFB">
      <w:pPr>
        <w:pStyle w:val="PargrafodaLista"/>
        <w:numPr>
          <w:ilvl w:val="1"/>
          <w:numId w:val="16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E7CFB">
        <w:rPr>
          <w:rFonts w:ascii="Arial" w:hAnsi="Arial" w:cs="Arial"/>
          <w:sz w:val="24"/>
          <w:szCs w:val="24"/>
          <w:u w:val="single"/>
        </w:rPr>
        <w:t>Mediador de fertilidade</w:t>
      </w:r>
      <w:r w:rsidRPr="00DE7CFB">
        <w:rPr>
          <w:rFonts w:ascii="Arial" w:hAnsi="Arial" w:cs="Arial"/>
          <w:sz w:val="24"/>
          <w:szCs w:val="24"/>
        </w:rPr>
        <w:t xml:space="preserve">: círculos/elipses pretas </w:t>
      </w:r>
    </w:p>
    <w:p w14:paraId="46A31F1C" w14:textId="1A7DF63C" w:rsidR="00C22731" w:rsidRPr="00A513D6" w:rsidRDefault="00C22731" w:rsidP="00DE7CFB">
      <w:pPr>
        <w:pStyle w:val="PargrafodaLista"/>
        <w:numPr>
          <w:ilvl w:val="1"/>
          <w:numId w:val="16"/>
        </w:numPr>
        <w:spacing w:after="0" w:line="36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DE7CFB">
        <w:rPr>
          <w:rFonts w:ascii="Arial" w:hAnsi="Arial" w:cs="Arial"/>
          <w:sz w:val="24"/>
          <w:szCs w:val="24"/>
          <w:u w:val="single"/>
        </w:rPr>
        <w:t>Suprassistema</w:t>
      </w:r>
      <w:r w:rsidRPr="00DE7CFB">
        <w:rPr>
          <w:rFonts w:ascii="Arial" w:hAnsi="Arial" w:cs="Arial"/>
          <w:sz w:val="24"/>
          <w:szCs w:val="24"/>
        </w:rPr>
        <w:t xml:space="preserve"> (Mercados, Estado e Comunidade): retângulos verdes fora do </w:t>
      </w:r>
      <w:r w:rsidR="00DE7CFB">
        <w:rPr>
          <w:rFonts w:ascii="Arial" w:hAnsi="Arial" w:cs="Arial"/>
          <w:sz w:val="24"/>
          <w:szCs w:val="24"/>
        </w:rPr>
        <w:t>agroecossistema</w:t>
      </w:r>
      <w:r w:rsidRPr="00DE7CFB">
        <w:rPr>
          <w:rFonts w:ascii="Arial" w:hAnsi="Arial" w:cs="Arial"/>
          <w:sz w:val="24"/>
          <w:szCs w:val="24"/>
        </w:rPr>
        <w:t>; mercados divididos em: territoriais (regulados localmente), convencionais e institucionais (PAA, PNAE)</w:t>
      </w:r>
    </w:p>
    <w:p w14:paraId="6D5C127E" w14:textId="77777777" w:rsidR="00A513D6" w:rsidRPr="00DE7CFB" w:rsidRDefault="00A513D6" w:rsidP="00A513D6">
      <w:pPr>
        <w:pStyle w:val="PargrafodaLista"/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7798198A" w14:textId="7B32AB3C" w:rsidR="009B5BC1" w:rsidRDefault="009B5BC1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E01A00" w14:textId="7F30D0CC" w:rsidR="002E42AD" w:rsidRPr="009B5BC1" w:rsidRDefault="002E42AD" w:rsidP="009C23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2AD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0EC71940" wp14:editId="07205889">
            <wp:extent cx="4572638" cy="34294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78EE4" w14:textId="68831650" w:rsidR="00436C31" w:rsidRPr="002E03F5" w:rsidRDefault="002E03F5" w:rsidP="002E03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E03F5">
        <w:rPr>
          <w:rFonts w:ascii="Arial" w:hAnsi="Arial" w:cs="Arial"/>
          <w:sz w:val="20"/>
          <w:szCs w:val="20"/>
        </w:rPr>
        <w:t>Figura 1: Modelo de estrutura do agroecossistema</w:t>
      </w:r>
      <w:r w:rsidR="00D22AA3">
        <w:rPr>
          <w:rFonts w:ascii="Arial" w:hAnsi="Arial" w:cs="Arial"/>
          <w:sz w:val="20"/>
          <w:szCs w:val="20"/>
        </w:rPr>
        <w:t xml:space="preserve"> para elaboração dos fluxos</w:t>
      </w:r>
    </w:p>
    <w:p w14:paraId="5F76405E" w14:textId="77777777" w:rsidR="002E03F5" w:rsidRDefault="002E03F5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87B60D" w14:textId="53B19A38" w:rsidR="001C5046" w:rsidRPr="009B5BC1" w:rsidRDefault="001C5046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2° Etapa - </w:t>
      </w:r>
      <w:r w:rsidRPr="001C5046">
        <w:rPr>
          <w:rFonts w:ascii="Arial" w:hAnsi="Arial" w:cs="Arial"/>
          <w:b/>
          <w:sz w:val="24"/>
          <w:szCs w:val="24"/>
        </w:rPr>
        <w:t>Representação do funcionamento do agroecossistema (</w:t>
      </w:r>
      <w:r w:rsidR="009567BD">
        <w:rPr>
          <w:rFonts w:ascii="Arial" w:hAnsi="Arial" w:cs="Arial"/>
          <w:b/>
          <w:sz w:val="24"/>
          <w:szCs w:val="24"/>
        </w:rPr>
        <w:t>FLUXOS</w:t>
      </w:r>
      <w:r w:rsidRPr="001C5046">
        <w:rPr>
          <w:rFonts w:ascii="Arial" w:hAnsi="Arial" w:cs="Arial"/>
          <w:b/>
          <w:sz w:val="24"/>
          <w:szCs w:val="24"/>
        </w:rPr>
        <w:t>)</w:t>
      </w:r>
    </w:p>
    <w:p w14:paraId="1F4C9336" w14:textId="5AFC022F" w:rsidR="00982E37" w:rsidRDefault="00982E37" w:rsidP="009C23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ECA18A" w14:textId="3A4F7226" w:rsidR="00A513D6" w:rsidRPr="002127A3" w:rsidRDefault="00A513D6" w:rsidP="006C3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3D6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identificar os fluxos econômico-ecológicos estabelecidos entre o NSGA, os subsistemas e os </w:t>
      </w:r>
      <w:r w:rsidR="00A33013">
        <w:rPr>
          <w:rFonts w:ascii="Arial" w:hAnsi="Arial" w:cs="Arial"/>
          <w:sz w:val="24"/>
          <w:szCs w:val="24"/>
        </w:rPr>
        <w:t>suprassistema</w:t>
      </w:r>
      <w:r>
        <w:rPr>
          <w:rFonts w:ascii="Arial" w:hAnsi="Arial" w:cs="Arial"/>
          <w:sz w:val="24"/>
          <w:szCs w:val="24"/>
        </w:rPr>
        <w:t>.</w:t>
      </w:r>
      <w:r w:rsidR="001245C6">
        <w:rPr>
          <w:rFonts w:ascii="Arial" w:hAnsi="Arial" w:cs="Arial"/>
          <w:sz w:val="24"/>
          <w:szCs w:val="24"/>
        </w:rPr>
        <w:t xml:space="preserve"> No método</w:t>
      </w:r>
      <w:r w:rsidR="00A33013">
        <w:rPr>
          <w:rFonts w:ascii="Arial" w:hAnsi="Arial" w:cs="Arial"/>
          <w:sz w:val="24"/>
          <w:szCs w:val="24"/>
        </w:rPr>
        <w:t xml:space="preserve"> Lume</w:t>
      </w:r>
      <w:r w:rsidR="001245C6">
        <w:rPr>
          <w:rFonts w:ascii="Arial" w:hAnsi="Arial" w:cs="Arial"/>
          <w:sz w:val="24"/>
          <w:szCs w:val="24"/>
        </w:rPr>
        <w:t xml:space="preserve"> identificamos fluxos de insumos, produtos, trabalho e renda.</w:t>
      </w:r>
      <w:r w:rsidR="00F5101B">
        <w:rPr>
          <w:rFonts w:ascii="Arial" w:hAnsi="Arial" w:cs="Arial"/>
          <w:sz w:val="24"/>
          <w:szCs w:val="24"/>
        </w:rPr>
        <w:t xml:space="preserve"> </w:t>
      </w:r>
      <w:r w:rsidR="00F5101B" w:rsidRPr="002127A3">
        <w:rPr>
          <w:rFonts w:ascii="Arial" w:hAnsi="Arial" w:cs="Arial"/>
          <w:sz w:val="24"/>
          <w:szCs w:val="24"/>
          <w:highlight w:val="yellow"/>
        </w:rPr>
        <w:t>Nessa fase dos exercícios da capacitação nos concentraremos nos fluxos de produtos e insumos</w:t>
      </w:r>
      <w:r w:rsidR="00F5101B" w:rsidRPr="002127A3">
        <w:rPr>
          <w:rFonts w:ascii="Arial" w:hAnsi="Arial" w:cs="Arial"/>
          <w:sz w:val="24"/>
          <w:szCs w:val="24"/>
        </w:rPr>
        <w:t>.</w:t>
      </w:r>
    </w:p>
    <w:p w14:paraId="10B4F643" w14:textId="57822461" w:rsidR="00A33013" w:rsidRDefault="00A33013" w:rsidP="00A513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4B07E4" w14:textId="4BC28A28" w:rsidR="00A33013" w:rsidRDefault="00256649" w:rsidP="00A513D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E74F5">
        <w:rPr>
          <w:rFonts w:ascii="Arial" w:hAnsi="Arial" w:cs="Arial"/>
          <w:b/>
          <w:i/>
          <w:sz w:val="24"/>
          <w:szCs w:val="24"/>
          <w:u w:val="single"/>
        </w:rPr>
        <w:t>Produtos e seus fluxos no diagrama</w:t>
      </w:r>
    </w:p>
    <w:p w14:paraId="013AFA99" w14:textId="77777777" w:rsidR="000E74F5" w:rsidRPr="000E74F5" w:rsidRDefault="000E74F5" w:rsidP="00A513D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5B82A24F" w14:textId="4D2BC7A5" w:rsidR="00276586" w:rsidRDefault="00256649" w:rsidP="0062650B">
      <w:pPr>
        <w:pStyle w:val="PargrafodaLista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Produtos s</w:t>
      </w:r>
      <w:r w:rsidR="00276586" w:rsidRPr="00AF2CB0">
        <w:rPr>
          <w:rFonts w:ascii="Arial" w:hAnsi="Arial" w:cs="Arial"/>
          <w:sz w:val="24"/>
          <w:szCs w:val="24"/>
        </w:rPr>
        <w:t>ão bens ecológicos convertidos em renda</w:t>
      </w:r>
      <w:r w:rsidR="00B4242E">
        <w:rPr>
          <w:rFonts w:ascii="Arial" w:hAnsi="Arial" w:cs="Arial"/>
          <w:sz w:val="24"/>
          <w:szCs w:val="24"/>
        </w:rPr>
        <w:t>,</w:t>
      </w:r>
      <w:r w:rsidR="00276586" w:rsidRPr="00AF2CB0">
        <w:rPr>
          <w:rFonts w:ascii="Arial" w:hAnsi="Arial" w:cs="Arial"/>
          <w:sz w:val="24"/>
          <w:szCs w:val="24"/>
        </w:rPr>
        <w:t xml:space="preserve"> que pode ser monetária ou não monetária.</w:t>
      </w:r>
    </w:p>
    <w:p w14:paraId="1DC7FB8A" w14:textId="64B29C90" w:rsidR="00AF2CB0" w:rsidRPr="00AF2CB0" w:rsidRDefault="00B4242E" w:rsidP="0062650B">
      <w:pPr>
        <w:pStyle w:val="PargrafodaLista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fluxo de produto</w:t>
      </w:r>
      <w:r w:rsidR="00256649">
        <w:rPr>
          <w:rFonts w:ascii="Arial" w:hAnsi="Arial" w:cs="Arial"/>
          <w:sz w:val="24"/>
          <w:szCs w:val="24"/>
        </w:rPr>
        <w:t>s</w:t>
      </w:r>
      <w:r w:rsidR="00AF2CB0" w:rsidRPr="00AF2CB0">
        <w:rPr>
          <w:rFonts w:ascii="Arial" w:hAnsi="Arial" w:cs="Arial"/>
          <w:sz w:val="24"/>
          <w:szCs w:val="24"/>
        </w:rPr>
        <w:t xml:space="preserve"> no diagrama é representado por </w:t>
      </w:r>
      <w:r w:rsidR="00AF2CB0" w:rsidRPr="00B4242E">
        <w:rPr>
          <w:rFonts w:ascii="Arial" w:hAnsi="Arial" w:cs="Arial"/>
          <w:b/>
          <w:color w:val="FF0000"/>
          <w:sz w:val="24"/>
          <w:szCs w:val="24"/>
        </w:rPr>
        <w:t>seta vermelha</w:t>
      </w:r>
      <w:r w:rsidR="00AF2CB0" w:rsidRPr="00B4242E">
        <w:rPr>
          <w:rFonts w:ascii="Arial" w:hAnsi="Arial" w:cs="Arial"/>
          <w:color w:val="FF0000"/>
          <w:sz w:val="24"/>
          <w:szCs w:val="24"/>
        </w:rPr>
        <w:t xml:space="preserve"> </w:t>
      </w:r>
      <w:r w:rsidR="00AF2CB0" w:rsidRPr="00AF2CB0">
        <w:rPr>
          <w:rFonts w:ascii="Arial" w:hAnsi="Arial" w:cs="Arial"/>
          <w:sz w:val="24"/>
          <w:szCs w:val="24"/>
        </w:rPr>
        <w:t>que sai dos subsistemas em direção ao NSGA (autoconsumo), à comunidade (reciprocidade</w:t>
      </w:r>
      <w:r w:rsidR="00AF2CB0">
        <w:rPr>
          <w:rFonts w:ascii="Arial" w:hAnsi="Arial" w:cs="Arial"/>
          <w:sz w:val="24"/>
          <w:szCs w:val="24"/>
        </w:rPr>
        <w:t xml:space="preserve"> – renda não monetária</w:t>
      </w:r>
      <w:r w:rsidR="00AF2CB0" w:rsidRPr="00AF2CB0">
        <w:rPr>
          <w:rFonts w:ascii="Arial" w:hAnsi="Arial" w:cs="Arial"/>
          <w:sz w:val="24"/>
          <w:szCs w:val="24"/>
        </w:rPr>
        <w:t>)</w:t>
      </w:r>
      <w:r w:rsidR="00AF2CB0">
        <w:rPr>
          <w:rFonts w:ascii="Arial" w:hAnsi="Arial" w:cs="Arial"/>
          <w:sz w:val="24"/>
          <w:szCs w:val="24"/>
        </w:rPr>
        <w:t xml:space="preserve"> e aos mercados (trocas mercantis – renda monetária)</w:t>
      </w:r>
      <w:r>
        <w:rPr>
          <w:rFonts w:ascii="Arial" w:hAnsi="Arial" w:cs="Arial"/>
          <w:sz w:val="24"/>
          <w:szCs w:val="24"/>
        </w:rPr>
        <w:t>, a depender de cada realidade.</w:t>
      </w:r>
    </w:p>
    <w:p w14:paraId="44BB98B9" w14:textId="0CBEAF34" w:rsidR="00AF2CB0" w:rsidRDefault="00B4242E" w:rsidP="0062650B">
      <w:pPr>
        <w:pStyle w:val="PargrafodaLista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4242E">
        <w:rPr>
          <w:rFonts w:ascii="Arial" w:hAnsi="Arial" w:cs="Arial"/>
          <w:sz w:val="24"/>
          <w:szCs w:val="24"/>
        </w:rPr>
        <w:t>Cada seta vermelha representando o fluxo de produtos</w:t>
      </w:r>
      <w:r w:rsidR="00256649">
        <w:rPr>
          <w:rFonts w:ascii="Arial" w:hAnsi="Arial" w:cs="Arial"/>
          <w:sz w:val="24"/>
          <w:szCs w:val="24"/>
        </w:rPr>
        <w:t xml:space="preserve"> que sai de um determinado</w:t>
      </w:r>
      <w:r w:rsidRPr="00B4242E">
        <w:rPr>
          <w:rFonts w:ascii="Arial" w:hAnsi="Arial" w:cs="Arial"/>
          <w:sz w:val="24"/>
          <w:szCs w:val="24"/>
        </w:rPr>
        <w:t xml:space="preserve"> subsistema </w:t>
      </w:r>
      <w:r>
        <w:rPr>
          <w:rFonts w:ascii="Arial" w:hAnsi="Arial" w:cs="Arial"/>
          <w:sz w:val="24"/>
          <w:szCs w:val="24"/>
        </w:rPr>
        <w:t xml:space="preserve">pode conter um ou mais produtos, representados no diagrama por </w:t>
      </w:r>
      <w:r w:rsidRPr="00B4242E">
        <w:rPr>
          <w:rFonts w:ascii="Arial" w:hAnsi="Arial" w:cs="Arial"/>
          <w:b/>
          <w:sz w:val="24"/>
          <w:szCs w:val="24"/>
        </w:rPr>
        <w:t>números</w:t>
      </w:r>
      <w:r>
        <w:rPr>
          <w:rFonts w:ascii="Arial" w:hAnsi="Arial" w:cs="Arial"/>
          <w:sz w:val="24"/>
          <w:szCs w:val="24"/>
        </w:rPr>
        <w:t>;</w:t>
      </w:r>
    </w:p>
    <w:p w14:paraId="0C4026B2" w14:textId="7362B848" w:rsidR="00B4242E" w:rsidRDefault="00B4242E" w:rsidP="0062650B">
      <w:pPr>
        <w:pStyle w:val="PargrafodaLista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números são identificados em </w:t>
      </w:r>
      <w:r w:rsidRPr="00B4242E">
        <w:rPr>
          <w:rFonts w:ascii="Arial" w:hAnsi="Arial" w:cs="Arial"/>
          <w:b/>
          <w:sz w:val="24"/>
          <w:szCs w:val="24"/>
        </w:rPr>
        <w:t>tabela</w:t>
      </w:r>
      <w:r>
        <w:rPr>
          <w:rFonts w:ascii="Arial" w:hAnsi="Arial" w:cs="Arial"/>
          <w:sz w:val="24"/>
          <w:szCs w:val="24"/>
        </w:rPr>
        <w:t xml:space="preserve"> anexa ao diagrama com o nome de cada produto correspondente. Essa tabela nos fornece de pronto um indicador da diversidade de produtos oriundos do agroecossistema.</w:t>
      </w:r>
    </w:p>
    <w:p w14:paraId="2D4489DC" w14:textId="77777777" w:rsidR="00BC1980" w:rsidRPr="00BC1980" w:rsidRDefault="00BC1980" w:rsidP="00BC1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9E5805" w14:textId="68DF4EE5" w:rsidR="00982E37" w:rsidRPr="009B5BC1" w:rsidRDefault="000E74F5" w:rsidP="0062650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E74F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9E2A140" wp14:editId="079B92B5">
            <wp:extent cx="5400040" cy="3037205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2158" w14:textId="67110FB4" w:rsidR="0062650B" w:rsidRDefault="0062650B" w:rsidP="0062650B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62650B">
        <w:rPr>
          <w:rFonts w:ascii="Arial" w:hAnsi="Arial" w:cs="Arial"/>
          <w:sz w:val="20"/>
          <w:szCs w:val="20"/>
        </w:rPr>
        <w:t>Figura 2: diagrama de fluxos de produtos</w:t>
      </w:r>
    </w:p>
    <w:p w14:paraId="1494475B" w14:textId="77777777" w:rsidR="006C38EB" w:rsidRPr="0062650B" w:rsidRDefault="006C38EB" w:rsidP="0062650B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14:paraId="7BB6B04B" w14:textId="3709CD04" w:rsidR="00CE5E56" w:rsidRPr="002127A3" w:rsidRDefault="009772E7" w:rsidP="00FE53C4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27A3">
        <w:rPr>
          <w:rFonts w:ascii="Arial" w:hAnsi="Arial" w:cs="Arial"/>
          <w:sz w:val="24"/>
          <w:szCs w:val="24"/>
          <w:highlight w:val="yellow"/>
        </w:rPr>
        <w:t>Obs.</w:t>
      </w:r>
      <w:r w:rsidR="005A43B6" w:rsidRPr="002127A3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EB0C6D" w:rsidRPr="002127A3">
        <w:rPr>
          <w:rFonts w:ascii="Arial" w:hAnsi="Arial" w:cs="Arial"/>
          <w:sz w:val="24"/>
          <w:szCs w:val="24"/>
          <w:highlight w:val="yellow"/>
        </w:rPr>
        <w:t>N</w:t>
      </w:r>
      <w:r w:rsidR="005A43B6" w:rsidRPr="002127A3">
        <w:rPr>
          <w:rFonts w:ascii="Arial" w:hAnsi="Arial" w:cs="Arial"/>
          <w:sz w:val="24"/>
          <w:szCs w:val="24"/>
          <w:highlight w:val="yellow"/>
        </w:rPr>
        <w:t>esse exemplo ainda não havia a distinção do mercado institucional. Mas esse deverá ser inclu</w:t>
      </w:r>
      <w:r w:rsidR="002E03F5" w:rsidRPr="002127A3">
        <w:rPr>
          <w:rFonts w:ascii="Arial" w:hAnsi="Arial" w:cs="Arial"/>
          <w:sz w:val="24"/>
          <w:szCs w:val="24"/>
          <w:highlight w:val="yellow"/>
        </w:rPr>
        <w:t>ído</w:t>
      </w:r>
      <w:r w:rsidR="005A43B6" w:rsidRPr="002127A3">
        <w:rPr>
          <w:rFonts w:ascii="Arial" w:hAnsi="Arial" w:cs="Arial"/>
          <w:sz w:val="24"/>
          <w:szCs w:val="24"/>
          <w:highlight w:val="yellow"/>
        </w:rPr>
        <w:t xml:space="preserve"> conforme figura 1 desse roteiro</w:t>
      </w:r>
      <w:r w:rsidR="002E03F5" w:rsidRPr="002127A3">
        <w:rPr>
          <w:rFonts w:ascii="Arial" w:hAnsi="Arial" w:cs="Arial"/>
          <w:sz w:val="24"/>
          <w:szCs w:val="24"/>
        </w:rPr>
        <w:t>.</w:t>
      </w:r>
    </w:p>
    <w:p w14:paraId="6F8C7FD3" w14:textId="2A491029" w:rsidR="00CE5E56" w:rsidRPr="005A43B6" w:rsidRDefault="00CE5E56" w:rsidP="0096394F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CE5E56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4FFDAD9D" wp14:editId="70E92EB7">
            <wp:extent cx="5768340" cy="3244352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260" cy="324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4AA5C" w14:textId="2CDC7F59" w:rsidR="00982E37" w:rsidRPr="00CE5E56" w:rsidRDefault="00CE5E56" w:rsidP="00CE5E5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E5E56">
        <w:rPr>
          <w:rFonts w:ascii="Arial" w:hAnsi="Arial" w:cs="Arial"/>
          <w:sz w:val="20"/>
          <w:szCs w:val="20"/>
        </w:rPr>
        <w:t>Tabela 1: Descrição dos produtos identificados no diagrama de fluxos do AE.</w:t>
      </w:r>
    </w:p>
    <w:p w14:paraId="7737DD60" w14:textId="29B0BBC6" w:rsidR="00982E37" w:rsidRDefault="00982E37" w:rsidP="009C23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8C4F15" w14:textId="61C2AE32" w:rsidR="00982E37" w:rsidRDefault="00982E37" w:rsidP="009C23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640639" w14:textId="077D3FA6" w:rsidR="008C7B05" w:rsidRDefault="008C7B05" w:rsidP="008C7B0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Insumos</w:t>
      </w:r>
      <w:r w:rsidRPr="000E74F5">
        <w:rPr>
          <w:rFonts w:ascii="Arial" w:hAnsi="Arial" w:cs="Arial"/>
          <w:b/>
          <w:i/>
          <w:sz w:val="24"/>
          <w:szCs w:val="24"/>
          <w:u w:val="single"/>
        </w:rPr>
        <w:t xml:space="preserve"> e seus fluxos no diagrama</w:t>
      </w:r>
    </w:p>
    <w:p w14:paraId="6AFF707D" w14:textId="19F39DD3" w:rsidR="00F03625" w:rsidRDefault="00F03625" w:rsidP="008C7B0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4BC833A" w14:textId="77982E8F" w:rsidR="00F03625" w:rsidRDefault="00F03625" w:rsidP="00DA7C3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03625">
        <w:rPr>
          <w:rFonts w:ascii="Arial" w:hAnsi="Arial" w:cs="Arial"/>
          <w:sz w:val="24"/>
          <w:szCs w:val="24"/>
        </w:rPr>
        <w:t>Insumos são subprodutos de processos de produção (restos de cultura que servem como forragem ou esterco</w:t>
      </w:r>
      <w:r>
        <w:rPr>
          <w:rFonts w:ascii="Arial" w:hAnsi="Arial" w:cs="Arial"/>
          <w:sz w:val="24"/>
          <w:szCs w:val="24"/>
        </w:rPr>
        <w:t xml:space="preserve"> da criação animal</w:t>
      </w:r>
      <w:r w:rsidRPr="00F03625">
        <w:rPr>
          <w:rFonts w:ascii="Arial" w:hAnsi="Arial" w:cs="Arial"/>
          <w:sz w:val="24"/>
          <w:szCs w:val="24"/>
        </w:rPr>
        <w:t>, por exemplo) ou produção específica para algum subsistema (forragem de capineira para o gado)</w:t>
      </w:r>
      <w:r w:rsidR="008F10CA">
        <w:rPr>
          <w:rFonts w:ascii="Arial" w:hAnsi="Arial" w:cs="Arial"/>
          <w:sz w:val="24"/>
          <w:szCs w:val="24"/>
        </w:rPr>
        <w:t>.</w:t>
      </w:r>
    </w:p>
    <w:p w14:paraId="3BE3A2B9" w14:textId="77777777" w:rsidR="00E14A5C" w:rsidRPr="00F03625" w:rsidRDefault="00E14A5C" w:rsidP="00DA7C3A">
      <w:pPr>
        <w:pStyle w:val="PargrafodaLista"/>
        <w:autoSpaceDE w:val="0"/>
        <w:autoSpaceDN w:val="0"/>
        <w:adjustRightInd w:val="0"/>
        <w:spacing w:after="240" w:line="240" w:lineRule="auto"/>
        <w:ind w:left="436"/>
        <w:jc w:val="both"/>
        <w:rPr>
          <w:rFonts w:ascii="Arial" w:hAnsi="Arial" w:cs="Arial"/>
          <w:sz w:val="24"/>
          <w:szCs w:val="24"/>
        </w:rPr>
      </w:pPr>
    </w:p>
    <w:p w14:paraId="6D784CD6" w14:textId="71BA1C86" w:rsidR="00DA7C3A" w:rsidRDefault="00316F4E" w:rsidP="00DA7C3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5F3867">
        <w:rPr>
          <w:rFonts w:ascii="Arial" w:hAnsi="Arial" w:cs="Arial"/>
          <w:sz w:val="24"/>
          <w:szCs w:val="24"/>
        </w:rPr>
        <w:t xml:space="preserve">O fluxo de insumos no diagrama é representado por </w:t>
      </w:r>
      <w:r w:rsidRPr="005F3867">
        <w:rPr>
          <w:rFonts w:ascii="Arial" w:hAnsi="Arial" w:cs="Arial"/>
          <w:b/>
          <w:sz w:val="24"/>
          <w:szCs w:val="24"/>
        </w:rPr>
        <w:t>seta preta</w:t>
      </w:r>
      <w:r w:rsidRPr="005F3867">
        <w:rPr>
          <w:rFonts w:ascii="Arial" w:hAnsi="Arial" w:cs="Arial"/>
          <w:sz w:val="24"/>
          <w:szCs w:val="24"/>
        </w:rPr>
        <w:t xml:space="preserve"> que sai dos suprassistema em direção aos subsistemas. </w:t>
      </w:r>
    </w:p>
    <w:p w14:paraId="0BE536C5" w14:textId="77777777" w:rsidR="00DA7C3A" w:rsidRDefault="00DA7C3A" w:rsidP="00DA7C3A">
      <w:pPr>
        <w:pStyle w:val="PargrafodaLista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992E4F9" w14:textId="734B7E92" w:rsidR="00DA7C3A" w:rsidRPr="00DA7C3A" w:rsidRDefault="001E0AC8" w:rsidP="00DA7C3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9B5BC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2E4B" wp14:editId="79923C58">
                <wp:simplePos x="0" y="0"/>
                <wp:positionH relativeFrom="rightMargin">
                  <wp:posOffset>-3216910</wp:posOffset>
                </wp:positionH>
                <wp:positionV relativeFrom="paragraph">
                  <wp:posOffset>157480</wp:posOffset>
                </wp:positionV>
                <wp:extent cx="175260" cy="266700"/>
                <wp:effectExtent l="0" t="19050" r="34290" b="19050"/>
                <wp:wrapNone/>
                <wp:docPr id="1" name="Seta: Curva para a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" cy="266700"/>
                        </a:xfrm>
                        <a:prstGeom prst="curvedRightArrow">
                          <a:avLst>
                            <a:gd name="adj1" fmla="val 39841"/>
                            <a:gd name="adj2" fmla="val 79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6977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" o:spid="_x0000_s1026" type="#_x0000_t102" style="position:absolute;margin-left:-253.3pt;margin-top:12.4pt;width:13.8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" adj="10290,18773">
                <w10:wrap anchorx="margin"/>
              </v:shape>
            </w:pict>
          </mc:Fallback>
        </mc:AlternateContent>
      </w:r>
      <w:r w:rsidR="00DA7C3A">
        <w:rPr>
          <w:rFonts w:ascii="Arial" w:hAnsi="Arial" w:cs="Arial"/>
          <w:sz w:val="24"/>
          <w:szCs w:val="24"/>
        </w:rPr>
        <w:t xml:space="preserve">Quando o insumo </w:t>
      </w:r>
      <w:r w:rsidR="00DA7C3A" w:rsidRPr="0028190E">
        <w:rPr>
          <w:rFonts w:ascii="Arial" w:hAnsi="Arial" w:cs="Arial"/>
          <w:sz w:val="24"/>
          <w:szCs w:val="24"/>
        </w:rPr>
        <w:t xml:space="preserve">é gerado no próprio subsistema </w:t>
      </w:r>
      <w:r w:rsidR="00DA7C3A">
        <w:rPr>
          <w:rFonts w:ascii="Arial" w:hAnsi="Arial" w:cs="Arial"/>
          <w:sz w:val="24"/>
          <w:szCs w:val="24"/>
        </w:rPr>
        <w:t xml:space="preserve">que o consome </w:t>
      </w:r>
      <w:r w:rsidR="00DA7C3A" w:rsidRPr="0028190E">
        <w:rPr>
          <w:rFonts w:ascii="Arial" w:hAnsi="Arial" w:cs="Arial"/>
          <w:sz w:val="24"/>
          <w:szCs w:val="24"/>
        </w:rPr>
        <w:t>é representado com uma seta circular</w:t>
      </w:r>
      <w:r w:rsidR="00DA7C3A">
        <w:rPr>
          <w:rFonts w:ascii="Arial" w:hAnsi="Arial" w:cs="Arial"/>
          <w:sz w:val="24"/>
          <w:szCs w:val="24"/>
        </w:rPr>
        <w:t xml:space="preserve"> no diagrama.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9881AF" w14:textId="77777777" w:rsidR="005F3867" w:rsidRPr="005F3867" w:rsidRDefault="005F3867" w:rsidP="00DA7C3A">
      <w:pPr>
        <w:pStyle w:val="PargrafodaLista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3BA51B01" w14:textId="7DAAF58F" w:rsidR="00F03625" w:rsidRDefault="00F03625" w:rsidP="00DA7C3A">
      <w:pPr>
        <w:pStyle w:val="PargrafodaLista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4242E">
        <w:rPr>
          <w:rFonts w:ascii="Arial" w:hAnsi="Arial" w:cs="Arial"/>
          <w:sz w:val="24"/>
          <w:szCs w:val="24"/>
        </w:rPr>
        <w:t xml:space="preserve">Cada seta </w:t>
      </w:r>
      <w:r w:rsidR="008F10CA">
        <w:rPr>
          <w:rFonts w:ascii="Arial" w:hAnsi="Arial" w:cs="Arial"/>
          <w:sz w:val="24"/>
          <w:szCs w:val="24"/>
        </w:rPr>
        <w:t>preta</w:t>
      </w:r>
      <w:r w:rsidRPr="00B4242E">
        <w:rPr>
          <w:rFonts w:ascii="Arial" w:hAnsi="Arial" w:cs="Arial"/>
          <w:sz w:val="24"/>
          <w:szCs w:val="24"/>
        </w:rPr>
        <w:t xml:space="preserve"> representando o fluxo de </w:t>
      </w:r>
      <w:r w:rsidR="008F10CA">
        <w:rPr>
          <w:rFonts w:ascii="Arial" w:hAnsi="Arial" w:cs="Arial"/>
          <w:sz w:val="24"/>
          <w:szCs w:val="24"/>
        </w:rPr>
        <w:t>insumos</w:t>
      </w:r>
      <w:r>
        <w:rPr>
          <w:rFonts w:ascii="Arial" w:hAnsi="Arial" w:cs="Arial"/>
          <w:sz w:val="24"/>
          <w:szCs w:val="24"/>
        </w:rPr>
        <w:t xml:space="preserve"> que sai de um determinado</w:t>
      </w:r>
      <w:r w:rsidR="008F10CA">
        <w:rPr>
          <w:rFonts w:ascii="Arial" w:hAnsi="Arial" w:cs="Arial"/>
          <w:sz w:val="24"/>
          <w:szCs w:val="24"/>
        </w:rPr>
        <w:t xml:space="preserve"> supras</w:t>
      </w:r>
      <w:r w:rsidRPr="00B4242E">
        <w:rPr>
          <w:rFonts w:ascii="Arial" w:hAnsi="Arial" w:cs="Arial"/>
          <w:sz w:val="24"/>
          <w:szCs w:val="24"/>
        </w:rPr>
        <w:t xml:space="preserve">sistema </w:t>
      </w:r>
      <w:r>
        <w:rPr>
          <w:rFonts w:ascii="Arial" w:hAnsi="Arial" w:cs="Arial"/>
          <w:sz w:val="24"/>
          <w:szCs w:val="24"/>
        </w:rPr>
        <w:t xml:space="preserve">pode conter um ou mais </w:t>
      </w:r>
      <w:r w:rsidR="008F10CA">
        <w:rPr>
          <w:rFonts w:ascii="Arial" w:hAnsi="Arial" w:cs="Arial"/>
          <w:sz w:val="24"/>
          <w:szCs w:val="24"/>
        </w:rPr>
        <w:t>insumos</w:t>
      </w:r>
      <w:r>
        <w:rPr>
          <w:rFonts w:ascii="Arial" w:hAnsi="Arial" w:cs="Arial"/>
          <w:sz w:val="24"/>
          <w:szCs w:val="24"/>
        </w:rPr>
        <w:t xml:space="preserve">, representados no diagrama por </w:t>
      </w:r>
      <w:r w:rsidRPr="00B4242E">
        <w:rPr>
          <w:rFonts w:ascii="Arial" w:hAnsi="Arial" w:cs="Arial"/>
          <w:b/>
          <w:sz w:val="24"/>
          <w:szCs w:val="24"/>
        </w:rPr>
        <w:t>números</w:t>
      </w:r>
      <w:r>
        <w:rPr>
          <w:rFonts w:ascii="Arial" w:hAnsi="Arial" w:cs="Arial"/>
          <w:sz w:val="24"/>
          <w:szCs w:val="24"/>
        </w:rPr>
        <w:t>;</w:t>
      </w:r>
      <w:r w:rsidR="006E25B4">
        <w:rPr>
          <w:rFonts w:ascii="Arial" w:hAnsi="Arial" w:cs="Arial"/>
          <w:sz w:val="24"/>
          <w:szCs w:val="24"/>
        </w:rPr>
        <w:t xml:space="preserve"> é fundamental identificar a origem do insumo</w:t>
      </w:r>
    </w:p>
    <w:p w14:paraId="4809BAD2" w14:textId="163850E2" w:rsidR="00F03625" w:rsidRDefault="00F03625" w:rsidP="00DA7C3A">
      <w:pPr>
        <w:pStyle w:val="PargrafodaLista"/>
        <w:numPr>
          <w:ilvl w:val="0"/>
          <w:numId w:val="17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números são identificados em </w:t>
      </w:r>
      <w:r w:rsidRPr="00B4242E">
        <w:rPr>
          <w:rFonts w:ascii="Arial" w:hAnsi="Arial" w:cs="Arial"/>
          <w:b/>
          <w:sz w:val="24"/>
          <w:szCs w:val="24"/>
        </w:rPr>
        <w:t>tabela</w:t>
      </w:r>
      <w:r>
        <w:rPr>
          <w:rFonts w:ascii="Arial" w:hAnsi="Arial" w:cs="Arial"/>
          <w:sz w:val="24"/>
          <w:szCs w:val="24"/>
        </w:rPr>
        <w:t xml:space="preserve"> anexa ao diagrama com o nome de cada </w:t>
      </w:r>
      <w:r w:rsidR="008F10CA">
        <w:rPr>
          <w:rFonts w:ascii="Arial" w:hAnsi="Arial" w:cs="Arial"/>
          <w:sz w:val="24"/>
          <w:szCs w:val="24"/>
        </w:rPr>
        <w:t xml:space="preserve">insumo </w:t>
      </w:r>
      <w:r>
        <w:rPr>
          <w:rFonts w:ascii="Arial" w:hAnsi="Arial" w:cs="Arial"/>
          <w:sz w:val="24"/>
          <w:szCs w:val="24"/>
        </w:rPr>
        <w:t xml:space="preserve">correspondente. </w:t>
      </w:r>
    </w:p>
    <w:p w14:paraId="295563F4" w14:textId="101BB648" w:rsidR="006E25B4" w:rsidRPr="006E25B4" w:rsidRDefault="006E25B4" w:rsidP="006E25B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5B4">
        <w:rPr>
          <w:rFonts w:ascii="Arial" w:hAnsi="Arial" w:cs="Arial"/>
          <w:sz w:val="24"/>
          <w:szCs w:val="24"/>
        </w:rPr>
        <w:t>Podem ser armazenados, transportados e/ou processados nos mediado</w:t>
      </w:r>
      <w:r w:rsidR="009C46A9">
        <w:rPr>
          <w:rFonts w:ascii="Arial" w:hAnsi="Arial" w:cs="Arial"/>
          <w:sz w:val="24"/>
          <w:szCs w:val="24"/>
        </w:rPr>
        <w:t>res de fertilidade. Nesse caso são</w:t>
      </w:r>
      <w:r w:rsidRPr="006E25B4">
        <w:rPr>
          <w:rFonts w:ascii="Arial" w:hAnsi="Arial" w:cs="Arial"/>
          <w:sz w:val="24"/>
          <w:szCs w:val="24"/>
        </w:rPr>
        <w:t xml:space="preserve"> representado</w:t>
      </w:r>
      <w:r w:rsidR="009C46A9">
        <w:rPr>
          <w:rFonts w:ascii="Arial" w:hAnsi="Arial" w:cs="Arial"/>
          <w:sz w:val="24"/>
          <w:szCs w:val="24"/>
        </w:rPr>
        <w:t>s</w:t>
      </w:r>
      <w:r w:rsidRPr="006E25B4">
        <w:rPr>
          <w:rFonts w:ascii="Arial" w:hAnsi="Arial" w:cs="Arial"/>
          <w:sz w:val="24"/>
          <w:szCs w:val="24"/>
        </w:rPr>
        <w:t xml:space="preserve"> por setas pretas que entram e saem dos mediadores.</w:t>
      </w:r>
    </w:p>
    <w:p w14:paraId="0983A687" w14:textId="77777777" w:rsidR="006E25B4" w:rsidRPr="006E25B4" w:rsidRDefault="006E25B4" w:rsidP="006E25B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31FA6000" w14:textId="77777777" w:rsidR="00F03625" w:rsidRDefault="00F03625" w:rsidP="008C7B0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1FC7A8E" w14:textId="77777777" w:rsidR="009B5BC1" w:rsidRPr="009B5BC1" w:rsidRDefault="009B5BC1" w:rsidP="009C238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57529C63" w14:textId="5758F065" w:rsidR="00982E37" w:rsidRDefault="00337E3B" w:rsidP="00337E3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37E3B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A0B48B5" wp14:editId="6DF0FE73">
            <wp:extent cx="6096851" cy="342947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B800C" w14:textId="7C1A507D" w:rsidR="00337E3B" w:rsidRDefault="00337E3B" w:rsidP="00337E3B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62650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igura 3</w:t>
      </w:r>
      <w:r w:rsidRPr="006265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diagrama de fluxos de insumos.</w:t>
      </w:r>
    </w:p>
    <w:p w14:paraId="2A8D900B" w14:textId="76CE4D05" w:rsidR="004969D5" w:rsidRDefault="004969D5" w:rsidP="009C23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6DA23D" w14:textId="12FD40C7" w:rsidR="004969D5" w:rsidRPr="002127A3" w:rsidRDefault="00B82AEA" w:rsidP="002127A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27A3">
        <w:rPr>
          <w:rFonts w:ascii="Arial" w:hAnsi="Arial" w:cs="Arial"/>
          <w:sz w:val="24"/>
          <w:szCs w:val="24"/>
          <w:highlight w:val="yellow"/>
        </w:rPr>
        <w:t>Obs.: Mais uma vez, observem que nesse exemplo ainda não havia a distinção do mercado institucional. Mas esse deverá ser incluído conforme figura 1 desse roteiro</w:t>
      </w:r>
    </w:p>
    <w:p w14:paraId="625708C8" w14:textId="07BBC64A" w:rsidR="004969D5" w:rsidRDefault="004969D5" w:rsidP="009C23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B2B895" w14:textId="6B704A93" w:rsidR="00C47636" w:rsidRDefault="00C47636" w:rsidP="00C4763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4763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DE9C8DC" wp14:editId="1CCB89A6">
            <wp:extent cx="6096851" cy="342947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28D9" w14:textId="1BC7C730" w:rsidR="00C47636" w:rsidRPr="00CE5E56" w:rsidRDefault="00C47636" w:rsidP="00C47636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2</w:t>
      </w:r>
      <w:r w:rsidRPr="00CE5E56">
        <w:rPr>
          <w:rFonts w:ascii="Arial" w:hAnsi="Arial" w:cs="Arial"/>
          <w:sz w:val="20"/>
          <w:szCs w:val="20"/>
        </w:rPr>
        <w:t>: Descriç</w:t>
      </w:r>
      <w:r>
        <w:rPr>
          <w:rFonts w:ascii="Arial" w:hAnsi="Arial" w:cs="Arial"/>
          <w:sz w:val="20"/>
          <w:szCs w:val="20"/>
        </w:rPr>
        <w:t>ão dos insumos</w:t>
      </w:r>
      <w:r w:rsidRPr="00CE5E56">
        <w:rPr>
          <w:rFonts w:ascii="Arial" w:hAnsi="Arial" w:cs="Arial"/>
          <w:sz w:val="20"/>
          <w:szCs w:val="20"/>
        </w:rPr>
        <w:t xml:space="preserve"> identificados no diagrama de fluxos do AE.</w:t>
      </w:r>
    </w:p>
    <w:p w14:paraId="44779AC8" w14:textId="02BADA22" w:rsidR="004969D5" w:rsidRDefault="004969D5" w:rsidP="009C23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54EFE0D" w14:textId="77777777" w:rsidR="004969D5" w:rsidRPr="009B5BC1" w:rsidRDefault="004969D5" w:rsidP="009C23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4FFD1C" w14:textId="611C99E4" w:rsidR="00DC1BA8" w:rsidRDefault="00DC1BA8" w:rsidP="00796C26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DC1BA8">
        <w:rPr>
          <w:rFonts w:ascii="Arial" w:hAnsi="Arial" w:cs="Arial"/>
          <w:b/>
          <w:sz w:val="24"/>
          <w:szCs w:val="24"/>
        </w:rPr>
        <w:lastRenderedPageBreak/>
        <w:t>Observações gerais e dicas para elaboração dos fluxos de insu</w:t>
      </w:r>
      <w:r w:rsidR="00796C26">
        <w:rPr>
          <w:rFonts w:ascii="Arial" w:hAnsi="Arial" w:cs="Arial"/>
          <w:b/>
          <w:sz w:val="24"/>
          <w:szCs w:val="24"/>
        </w:rPr>
        <w:t>mos e produto</w:t>
      </w:r>
    </w:p>
    <w:p w14:paraId="2148A79B" w14:textId="77777777" w:rsidR="00796C26" w:rsidRPr="00796C26" w:rsidRDefault="00796C26" w:rsidP="00796C26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29752F2" w14:textId="23E1EECD" w:rsidR="00796C26" w:rsidRDefault="00796C26" w:rsidP="00796C2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Dupla função: há c</w:t>
      </w:r>
      <w:r w:rsidR="009B5BC1" w:rsidRPr="00796C26">
        <w:rPr>
          <w:rFonts w:ascii="Arial" w:hAnsi="Arial" w:cs="Arial"/>
          <w:sz w:val="24"/>
          <w:szCs w:val="24"/>
        </w:rPr>
        <w:t xml:space="preserve">asos em que </w:t>
      </w:r>
      <w:r>
        <w:rPr>
          <w:rFonts w:ascii="Arial" w:hAnsi="Arial" w:cs="Arial"/>
          <w:sz w:val="24"/>
          <w:szCs w:val="24"/>
        </w:rPr>
        <w:t>o que está circulando nos fluxos pode ter função de insumo e produto, a exemplo do milho que pode ser usado como ração (insumo) para as aves ou ser vendido (produto) na feira, ou ser armazenado (insumo) para o próximo plantio, ou ainda doado (produto) para o vizinho.</w:t>
      </w:r>
    </w:p>
    <w:p w14:paraId="2E14639B" w14:textId="77777777" w:rsidR="00796C26" w:rsidRDefault="00796C26" w:rsidP="00796C26">
      <w:pPr>
        <w:pStyle w:val="PargrafodaLista"/>
        <w:autoSpaceDE w:val="0"/>
        <w:autoSpaceDN w:val="0"/>
        <w:adjustRightInd w:val="0"/>
        <w:spacing w:after="240" w:line="240" w:lineRule="auto"/>
        <w:ind w:left="436"/>
        <w:jc w:val="both"/>
        <w:rPr>
          <w:rFonts w:ascii="Arial" w:hAnsi="Arial" w:cs="Arial"/>
          <w:sz w:val="24"/>
          <w:szCs w:val="24"/>
        </w:rPr>
      </w:pPr>
    </w:p>
    <w:p w14:paraId="59912D29" w14:textId="53204F43" w:rsidR="00982E37" w:rsidRDefault="0014164B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9B5BC1">
        <w:rPr>
          <w:rFonts w:ascii="Arial" w:hAnsi="Arial" w:cs="Arial"/>
          <w:sz w:val="24"/>
          <w:szCs w:val="24"/>
        </w:rPr>
        <w:t>Alguns dispositivos de ação coletiva</w:t>
      </w:r>
      <w:r>
        <w:rPr>
          <w:rFonts w:ascii="Arial" w:hAnsi="Arial" w:cs="Arial"/>
          <w:sz w:val="24"/>
          <w:szCs w:val="24"/>
        </w:rPr>
        <w:t xml:space="preserve"> (DAC)</w:t>
      </w:r>
      <w:r w:rsidRPr="009B5BC1">
        <w:rPr>
          <w:rFonts w:ascii="Arial" w:hAnsi="Arial" w:cs="Arial"/>
          <w:sz w:val="24"/>
          <w:szCs w:val="24"/>
        </w:rPr>
        <w:t xml:space="preserve"> nos quais o NSGA participa no âmbito da comunidade funcionam como </w:t>
      </w:r>
      <w:r w:rsidRPr="009B5BC1">
        <w:rPr>
          <w:rFonts w:ascii="Arial" w:hAnsi="Arial" w:cs="Arial"/>
          <w:i/>
          <w:iCs/>
          <w:sz w:val="24"/>
          <w:szCs w:val="24"/>
        </w:rPr>
        <w:t xml:space="preserve">extensões do agroecossistema. </w:t>
      </w:r>
      <w:r w:rsidRPr="009B5BC1">
        <w:rPr>
          <w:rFonts w:ascii="Arial" w:hAnsi="Arial" w:cs="Arial"/>
          <w:sz w:val="24"/>
          <w:szCs w:val="24"/>
        </w:rPr>
        <w:t>Suas funções são permitir a gestão comunitária de insumos produzidos nos agroecossistemas por meio de mecanismos de reciprocidade. Bancos de sementes comunitários funcionam como um mediador de fertilidade (armazenamento de insumos) e agroindústrias comunitárias funcionam como estruturas organicamente integradas ao funcionamento de subsistemas específicos. Nessas situações, a representação dos fluxos indica a circulação dos insumos na comunidade (sementes oriundas do banco de semente comunitário em direção aos subsistemas em que serão consumidas) ou produtos (processados nas agroindústrias em direção ao NSGA – para serem em seguida consumidos, vendidos ou trocados).</w:t>
      </w:r>
    </w:p>
    <w:p w14:paraId="322DDCED" w14:textId="77777777" w:rsidR="00FC4C94" w:rsidRPr="00FC4C94" w:rsidRDefault="00FC4C94" w:rsidP="00FC4C94">
      <w:pPr>
        <w:pStyle w:val="PargrafodaLista"/>
        <w:rPr>
          <w:rFonts w:ascii="Arial" w:hAnsi="Arial" w:cs="Arial"/>
          <w:sz w:val="24"/>
          <w:szCs w:val="24"/>
        </w:rPr>
      </w:pPr>
    </w:p>
    <w:p w14:paraId="198DABA3" w14:textId="750D6040" w:rsidR="00FC4C94" w:rsidRDefault="00FC4C94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insumos entram nos subsistemas;</w:t>
      </w:r>
    </w:p>
    <w:p w14:paraId="0890AC59" w14:textId="77777777" w:rsidR="00FC4C94" w:rsidRPr="00FC4C94" w:rsidRDefault="00FC4C94" w:rsidP="00FC4C94">
      <w:pPr>
        <w:pStyle w:val="PargrafodaLista"/>
        <w:rPr>
          <w:rFonts w:ascii="Arial" w:hAnsi="Arial" w:cs="Arial"/>
          <w:sz w:val="24"/>
          <w:szCs w:val="24"/>
        </w:rPr>
      </w:pPr>
    </w:p>
    <w:p w14:paraId="1D32738F" w14:textId="2DEC1344" w:rsidR="00FC4C94" w:rsidRDefault="00FC4C94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Saem dos subsistemas insumos e produtos;</w:t>
      </w:r>
    </w:p>
    <w:p w14:paraId="73FE0CDC" w14:textId="77777777" w:rsidR="00FC4C94" w:rsidRPr="00FC4C94" w:rsidRDefault="00FC4C94" w:rsidP="00FC4C94">
      <w:pPr>
        <w:pStyle w:val="PargrafodaLista"/>
        <w:rPr>
          <w:rFonts w:ascii="Arial" w:hAnsi="Arial" w:cs="Arial"/>
          <w:sz w:val="24"/>
          <w:szCs w:val="24"/>
        </w:rPr>
      </w:pPr>
    </w:p>
    <w:p w14:paraId="54ABDA77" w14:textId="672F7E03" w:rsidR="00FC4C94" w:rsidRDefault="00FC4C94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mediadores entram e saem somente insumos;</w:t>
      </w:r>
    </w:p>
    <w:p w14:paraId="6A34E104" w14:textId="77777777" w:rsidR="00FC4C94" w:rsidRPr="00FC4C94" w:rsidRDefault="00FC4C94" w:rsidP="00FC4C94">
      <w:pPr>
        <w:pStyle w:val="PargrafodaLista"/>
        <w:rPr>
          <w:rFonts w:ascii="Arial" w:hAnsi="Arial" w:cs="Arial"/>
          <w:sz w:val="24"/>
          <w:szCs w:val="24"/>
        </w:rPr>
      </w:pPr>
    </w:p>
    <w:p w14:paraId="24022D15" w14:textId="1C019E38" w:rsidR="00FC4C94" w:rsidRDefault="00FC4C94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um produto sai do agroecossistema, mesmo que ele seja utilizado como insumo em outro agroecossistema distinto da origem, é considerado produto, pois se converte em renda (que pode ser monetária ou não monetária);</w:t>
      </w:r>
    </w:p>
    <w:p w14:paraId="5480433A" w14:textId="77777777" w:rsidR="00FC4C94" w:rsidRPr="00FC4C94" w:rsidRDefault="00FC4C94" w:rsidP="00FC4C94">
      <w:pPr>
        <w:pStyle w:val="PargrafodaLista"/>
        <w:rPr>
          <w:rFonts w:ascii="Arial" w:hAnsi="Arial" w:cs="Arial"/>
          <w:sz w:val="24"/>
          <w:szCs w:val="24"/>
        </w:rPr>
      </w:pPr>
    </w:p>
    <w:p w14:paraId="051F9C52" w14:textId="22601CEF" w:rsidR="00FC4C94" w:rsidRDefault="00FC4C94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um insumo sai do agroecossistema e é armazenado e/ou processado em estruturas de gestão comunitária (considerado extensão do agroecossistema), sem a mediação de relações mercantis, ele continua sendo insumo (que voltará para o agroecossistema posteriormente)</w:t>
      </w:r>
      <w:r w:rsidR="00611766">
        <w:rPr>
          <w:rFonts w:ascii="Arial" w:hAnsi="Arial" w:cs="Arial"/>
          <w:sz w:val="24"/>
          <w:szCs w:val="24"/>
        </w:rPr>
        <w:t>.</w:t>
      </w:r>
    </w:p>
    <w:p w14:paraId="4B5E6631" w14:textId="77777777" w:rsidR="00A674DD" w:rsidRPr="00A674DD" w:rsidRDefault="00A674DD" w:rsidP="00A674DD">
      <w:pPr>
        <w:pStyle w:val="PargrafodaLista"/>
        <w:rPr>
          <w:rFonts w:ascii="Arial" w:hAnsi="Arial" w:cs="Arial"/>
          <w:sz w:val="24"/>
          <w:szCs w:val="24"/>
        </w:rPr>
      </w:pPr>
    </w:p>
    <w:p w14:paraId="5C42C85A" w14:textId="1052E29B" w:rsidR="00A674DD" w:rsidRDefault="00A674DD" w:rsidP="0014164B">
      <w:pPr>
        <w:pStyle w:val="PargrafodaLista"/>
        <w:numPr>
          <w:ilvl w:val="0"/>
          <w:numId w:val="19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fluxos de produtos e insumos são inicialmente representados separadamente nos seus respectivos diagramas, mas também podem ser representados num único diagrama conforme exemplo a seguir. </w:t>
      </w:r>
      <w:r w:rsidR="00355B28">
        <w:rPr>
          <w:rFonts w:ascii="Arial" w:hAnsi="Arial" w:cs="Arial"/>
          <w:sz w:val="24"/>
          <w:szCs w:val="24"/>
        </w:rPr>
        <w:t xml:space="preserve">Cabe lembrar que a depender da intensidade e quantidade de fluxos identificados no agroecossistema, </w:t>
      </w:r>
      <w:r w:rsidR="008A52B6">
        <w:rPr>
          <w:rFonts w:ascii="Arial" w:hAnsi="Arial" w:cs="Arial"/>
          <w:sz w:val="24"/>
          <w:szCs w:val="24"/>
        </w:rPr>
        <w:t xml:space="preserve">o </w:t>
      </w:r>
      <w:r w:rsidR="00355B28">
        <w:rPr>
          <w:rFonts w:ascii="Arial" w:hAnsi="Arial" w:cs="Arial"/>
          <w:sz w:val="24"/>
          <w:szCs w:val="24"/>
        </w:rPr>
        <w:t xml:space="preserve">diagrama </w:t>
      </w:r>
      <w:r w:rsidR="008A52B6">
        <w:rPr>
          <w:rFonts w:ascii="Arial" w:hAnsi="Arial" w:cs="Arial"/>
          <w:sz w:val="24"/>
          <w:szCs w:val="24"/>
        </w:rPr>
        <w:t xml:space="preserve">único </w:t>
      </w:r>
      <w:r w:rsidR="00355B28">
        <w:rPr>
          <w:rFonts w:ascii="Arial" w:hAnsi="Arial" w:cs="Arial"/>
          <w:sz w:val="24"/>
          <w:szCs w:val="24"/>
        </w:rPr>
        <w:t xml:space="preserve">pode comprometer a visualização; </w:t>
      </w:r>
    </w:p>
    <w:p w14:paraId="315BC33D" w14:textId="18BCA74E" w:rsidR="00A674DD" w:rsidRDefault="00A674DD" w:rsidP="00A674DD">
      <w:pPr>
        <w:pStyle w:val="PargrafodaLista"/>
        <w:rPr>
          <w:rFonts w:ascii="Arial" w:hAnsi="Arial" w:cs="Arial"/>
          <w:sz w:val="24"/>
          <w:szCs w:val="24"/>
        </w:rPr>
      </w:pPr>
    </w:p>
    <w:p w14:paraId="70A1C16F" w14:textId="1876AEDE" w:rsidR="00A674DD" w:rsidRPr="00982E37" w:rsidRDefault="00A674DD" w:rsidP="00A674DD">
      <w:pPr>
        <w:pStyle w:val="PargrafodaLista"/>
        <w:spacing w:after="240" w:line="240" w:lineRule="auto"/>
        <w:ind w:left="4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74D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1C1F2835" wp14:editId="72563D83">
            <wp:extent cx="6096851" cy="342947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E52FC" w14:textId="26F41587" w:rsidR="00A674DD" w:rsidRDefault="00A674DD" w:rsidP="00A674DD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62650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igura 4</w:t>
      </w:r>
      <w:r w:rsidRPr="006265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diagrama de fluxos de produtos e insumos.</w:t>
      </w:r>
    </w:p>
    <w:p w14:paraId="001DD06F" w14:textId="77777777" w:rsidR="00982E37" w:rsidRPr="00982E37" w:rsidRDefault="00982E37" w:rsidP="00DC1BA8">
      <w:pPr>
        <w:pStyle w:val="PargrafodaLista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5090DD5" w14:textId="77777777" w:rsidR="00982E37" w:rsidRPr="00982E37" w:rsidRDefault="00982E37" w:rsidP="00DC1BA8">
      <w:pPr>
        <w:pStyle w:val="PargrafodaLista"/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A7BA89A" w14:textId="77777777" w:rsidR="009B5BC1" w:rsidRPr="009B5BC1" w:rsidRDefault="009B5BC1" w:rsidP="00DC1BA8">
      <w:pPr>
        <w:pStyle w:val="PargrafodaLista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B5BC1" w:rsidRPr="009B5BC1" w:rsidSect="0062650B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3F18" w14:textId="77777777" w:rsidR="00505244" w:rsidRDefault="00505244">
      <w:pPr>
        <w:spacing w:after="0" w:line="240" w:lineRule="auto"/>
      </w:pPr>
      <w:r>
        <w:separator/>
      </w:r>
    </w:p>
  </w:endnote>
  <w:endnote w:type="continuationSeparator" w:id="0">
    <w:p w14:paraId="5A8CCBC1" w14:textId="77777777" w:rsidR="00505244" w:rsidRDefault="0050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3845"/>
      <w:docPartObj>
        <w:docPartGallery w:val="Page Numbers (Bottom of Page)"/>
        <w:docPartUnique/>
      </w:docPartObj>
    </w:sdtPr>
    <w:sdtEndPr/>
    <w:sdtContent>
      <w:p w14:paraId="0009929A" w14:textId="3E54B59F" w:rsidR="00F45820" w:rsidRDefault="009B5BC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2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49CA75" w14:textId="77777777" w:rsidR="00F45820" w:rsidRDefault="005052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649D0" w14:textId="77777777" w:rsidR="00505244" w:rsidRDefault="00505244">
      <w:pPr>
        <w:spacing w:after="0" w:line="240" w:lineRule="auto"/>
      </w:pPr>
      <w:r>
        <w:separator/>
      </w:r>
    </w:p>
  </w:footnote>
  <w:footnote w:type="continuationSeparator" w:id="0">
    <w:p w14:paraId="2783A886" w14:textId="77777777" w:rsidR="00505244" w:rsidRDefault="0050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0F7"/>
    <w:multiLevelType w:val="hybridMultilevel"/>
    <w:tmpl w:val="67E4E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209B"/>
    <w:multiLevelType w:val="hybridMultilevel"/>
    <w:tmpl w:val="33B285B0"/>
    <w:lvl w:ilvl="0" w:tplc="8506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332"/>
    <w:multiLevelType w:val="hybridMultilevel"/>
    <w:tmpl w:val="BF54A3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2988"/>
    <w:multiLevelType w:val="hybridMultilevel"/>
    <w:tmpl w:val="011A9644"/>
    <w:lvl w:ilvl="0" w:tplc="018A44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4C4A"/>
    <w:multiLevelType w:val="hybridMultilevel"/>
    <w:tmpl w:val="D69E1776"/>
    <w:lvl w:ilvl="0" w:tplc="018A44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ED7"/>
    <w:multiLevelType w:val="hybridMultilevel"/>
    <w:tmpl w:val="E4122E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526"/>
    <w:multiLevelType w:val="hybridMultilevel"/>
    <w:tmpl w:val="B3E83F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1DA"/>
    <w:multiLevelType w:val="hybridMultilevel"/>
    <w:tmpl w:val="B8787BA4"/>
    <w:lvl w:ilvl="0" w:tplc="018A44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382C"/>
    <w:multiLevelType w:val="hybridMultilevel"/>
    <w:tmpl w:val="5A3037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2F1"/>
    <w:multiLevelType w:val="multilevel"/>
    <w:tmpl w:val="07CEC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516432"/>
    <w:multiLevelType w:val="hybridMultilevel"/>
    <w:tmpl w:val="505AE1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05C9D"/>
    <w:multiLevelType w:val="hybridMultilevel"/>
    <w:tmpl w:val="17A2282C"/>
    <w:lvl w:ilvl="0" w:tplc="0416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A956F4A"/>
    <w:multiLevelType w:val="hybridMultilevel"/>
    <w:tmpl w:val="6C6268A4"/>
    <w:lvl w:ilvl="0" w:tplc="018A44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665F5"/>
    <w:multiLevelType w:val="hybridMultilevel"/>
    <w:tmpl w:val="84B23EE6"/>
    <w:lvl w:ilvl="0" w:tplc="018A44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507C7"/>
    <w:multiLevelType w:val="hybridMultilevel"/>
    <w:tmpl w:val="F732C7A2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9DA2B3D"/>
    <w:multiLevelType w:val="hybridMultilevel"/>
    <w:tmpl w:val="9246FE6A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57D1737"/>
    <w:multiLevelType w:val="hybridMultilevel"/>
    <w:tmpl w:val="A82885A4"/>
    <w:lvl w:ilvl="0" w:tplc="018A44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674BA"/>
    <w:multiLevelType w:val="hybridMultilevel"/>
    <w:tmpl w:val="AC527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5860"/>
    <w:multiLevelType w:val="hybridMultilevel"/>
    <w:tmpl w:val="59BA9FA6"/>
    <w:lvl w:ilvl="0" w:tplc="27E26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A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4F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EB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AF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43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4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4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0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16"/>
  </w:num>
  <w:num w:numId="14">
    <w:abstractNumId w:val="18"/>
  </w:num>
  <w:num w:numId="15">
    <w:abstractNumId w:val="17"/>
  </w:num>
  <w:num w:numId="16">
    <w:abstractNumId w:val="0"/>
  </w:num>
  <w:num w:numId="17">
    <w:abstractNumId w:val="5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C1"/>
    <w:rsid w:val="000A0943"/>
    <w:rsid w:val="000E74F5"/>
    <w:rsid w:val="00117572"/>
    <w:rsid w:val="001245C6"/>
    <w:rsid w:val="0014164B"/>
    <w:rsid w:val="00171C7E"/>
    <w:rsid w:val="00186247"/>
    <w:rsid w:val="001B1ECE"/>
    <w:rsid w:val="001B6C35"/>
    <w:rsid w:val="001C5046"/>
    <w:rsid w:val="001E0AC8"/>
    <w:rsid w:val="002127A3"/>
    <w:rsid w:val="00240C9C"/>
    <w:rsid w:val="00256649"/>
    <w:rsid w:val="00276586"/>
    <w:rsid w:val="0028190E"/>
    <w:rsid w:val="002E03F5"/>
    <w:rsid w:val="002E42AD"/>
    <w:rsid w:val="00316F4E"/>
    <w:rsid w:val="00337E3B"/>
    <w:rsid w:val="00355B28"/>
    <w:rsid w:val="00373498"/>
    <w:rsid w:val="003F04F9"/>
    <w:rsid w:val="003F3B6A"/>
    <w:rsid w:val="00436C31"/>
    <w:rsid w:val="0047761E"/>
    <w:rsid w:val="004969D5"/>
    <w:rsid w:val="00505244"/>
    <w:rsid w:val="00583993"/>
    <w:rsid w:val="005A43B6"/>
    <w:rsid w:val="005F3867"/>
    <w:rsid w:val="005F6EA5"/>
    <w:rsid w:val="00611766"/>
    <w:rsid w:val="006119F6"/>
    <w:rsid w:val="0062650B"/>
    <w:rsid w:val="006343C4"/>
    <w:rsid w:val="006747BB"/>
    <w:rsid w:val="006C38EB"/>
    <w:rsid w:val="006D1372"/>
    <w:rsid w:val="006E25B4"/>
    <w:rsid w:val="00741E3A"/>
    <w:rsid w:val="00744418"/>
    <w:rsid w:val="00760F19"/>
    <w:rsid w:val="0079400C"/>
    <w:rsid w:val="00796C26"/>
    <w:rsid w:val="0086029F"/>
    <w:rsid w:val="008A52B6"/>
    <w:rsid w:val="008C7B05"/>
    <w:rsid w:val="008F10CA"/>
    <w:rsid w:val="009567BD"/>
    <w:rsid w:val="0096394F"/>
    <w:rsid w:val="009772E7"/>
    <w:rsid w:val="00982E37"/>
    <w:rsid w:val="009952CE"/>
    <w:rsid w:val="009B5BC1"/>
    <w:rsid w:val="009C2384"/>
    <w:rsid w:val="009C46A9"/>
    <w:rsid w:val="009D5A02"/>
    <w:rsid w:val="00A33013"/>
    <w:rsid w:val="00A513D6"/>
    <w:rsid w:val="00A674DD"/>
    <w:rsid w:val="00AA4454"/>
    <w:rsid w:val="00AB06AC"/>
    <w:rsid w:val="00AF2CB0"/>
    <w:rsid w:val="00B3117F"/>
    <w:rsid w:val="00B4242E"/>
    <w:rsid w:val="00B82AEA"/>
    <w:rsid w:val="00BC1980"/>
    <w:rsid w:val="00C10918"/>
    <w:rsid w:val="00C22731"/>
    <w:rsid w:val="00C47636"/>
    <w:rsid w:val="00CE5E56"/>
    <w:rsid w:val="00D22AA3"/>
    <w:rsid w:val="00D65EE8"/>
    <w:rsid w:val="00DA0528"/>
    <w:rsid w:val="00DA7C3A"/>
    <w:rsid w:val="00DC1BA8"/>
    <w:rsid w:val="00DD2267"/>
    <w:rsid w:val="00DE7CFB"/>
    <w:rsid w:val="00E00D23"/>
    <w:rsid w:val="00E0333E"/>
    <w:rsid w:val="00E14A5C"/>
    <w:rsid w:val="00EB0C6D"/>
    <w:rsid w:val="00F03625"/>
    <w:rsid w:val="00F5101B"/>
    <w:rsid w:val="00FC4C94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4F9"/>
  <w15:chartTrackingRefBased/>
  <w15:docId w15:val="{B869D380-B2D4-47F9-845A-9DBAA1B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C1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BC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B5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BC1"/>
    <w:rPr>
      <w:lang w:val="pt-BR"/>
    </w:rPr>
  </w:style>
  <w:style w:type="character" w:styleId="Hyperlink">
    <w:name w:val="Hyperlink"/>
    <w:basedOn w:val="Fontepargpadro"/>
    <w:uiPriority w:val="99"/>
    <w:semiHidden/>
    <w:unhideWhenUsed/>
    <w:rsid w:val="009B5BC1"/>
    <w:rPr>
      <w:color w:val="0000FF"/>
      <w:u w:val="single"/>
    </w:rPr>
  </w:style>
  <w:style w:type="paragraph" w:customStyle="1" w:styleId="Default">
    <w:name w:val="Default"/>
    <w:rsid w:val="009B5B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FontStyle42">
    <w:name w:val="Font Style42"/>
    <w:uiPriority w:val="99"/>
    <w:rsid w:val="009B5BC1"/>
    <w:rPr>
      <w:rFonts w:ascii="Calibri" w:hAnsi="Calibri" w:cs="Calibri" w:hint="default"/>
      <w:b/>
      <w:bCs/>
      <w:sz w:val="22"/>
      <w:szCs w:val="22"/>
    </w:rPr>
  </w:style>
  <w:style w:type="character" w:customStyle="1" w:styleId="FontStyle54">
    <w:name w:val="Font Style54"/>
    <w:uiPriority w:val="99"/>
    <w:rsid w:val="009B5BC1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psnfp</dc:creator>
  <cp:keywords/>
  <dc:description/>
  <cp:lastModifiedBy>Cinara Del Arco</cp:lastModifiedBy>
  <cp:revision>6</cp:revision>
  <dcterms:created xsi:type="dcterms:W3CDTF">2021-02-25T14:57:00Z</dcterms:created>
  <dcterms:modified xsi:type="dcterms:W3CDTF">2021-02-25T16:06:00Z</dcterms:modified>
</cp:coreProperties>
</file>